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3ECA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7B8597BB" w14:textId="77777777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055BB5">
        <w:rPr>
          <w:rFonts w:ascii="Times New Roman" w:hAnsi="Times New Roman"/>
          <w:b/>
          <w:snapToGrid w:val="0"/>
          <w:lang w:eastAsia="it-IT"/>
        </w:rPr>
        <w:t>3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</w:t>
      </w:r>
      <w:r w:rsidR="00055BB5">
        <w:rPr>
          <w:rFonts w:ascii="Times New Roman" w:hAnsi="Times New Roman"/>
          <w:b/>
          <w:snapToGrid w:val="0"/>
          <w:lang w:eastAsia="it-IT"/>
        </w:rPr>
        <w:t>i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 xml:space="preserve"> </w:t>
      </w:r>
      <w:r w:rsidR="00055BB5">
        <w:rPr>
          <w:rFonts w:ascii="Times New Roman" w:hAnsi="Times New Roman"/>
          <w:b/>
          <w:snapToGrid w:val="0"/>
          <w:lang w:eastAsia="it-IT"/>
        </w:rPr>
        <w:t>del concorrente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4FDCBE22" w14:textId="1CD21AF3" w:rsidR="00A41AE0" w:rsidRDefault="00A314F1" w:rsidP="00A41AE0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A314F1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DEi LAVORI DI RIFACIMENTO DELLE BARRIERE ESISTENTI – ADEGUAMENTO FUNZIONALE DELLA BARRIERA DEL LISERT</w:t>
      </w:r>
    </w:p>
    <w:p w14:paraId="1F839B6A" w14:textId="77777777" w:rsidR="00B305BA" w:rsidRPr="00B305BA" w:rsidRDefault="00A41AE0" w:rsidP="00B305BA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Pr="00B305BA">
        <w:rPr>
          <w:rFonts w:ascii="Times New Roman" w:eastAsia="Times New Roman" w:hAnsi="Times New Roman"/>
          <w:b/>
        </w:rPr>
        <w:t>I41B07000150005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lang w:eastAsia="it-IT"/>
        </w:rPr>
        <w:t xml:space="preserve">C.I.G.: </w:t>
      </w:r>
      <w:r w:rsidR="00B305BA" w:rsidRPr="00B305BA">
        <w:rPr>
          <w:rFonts w:ascii="Times New Roman" w:hAnsi="Times New Roman"/>
          <w:b/>
          <w:bCs/>
          <w:lang w:eastAsia="it-IT"/>
        </w:rPr>
        <w:t>7242405DA9</w:t>
      </w:r>
    </w:p>
    <w:p w14:paraId="313658F5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0" w:name="_GoBack"/>
      <w:bookmarkEnd w:id="0"/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0CFF8699" w14:textId="77777777" w:rsidR="004D3674" w:rsidRPr="00DA47BF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14:paraId="41DB5C05" w14:textId="77777777" w:rsidR="004D3674" w:rsidRPr="00ED416D" w:rsidRDefault="003B25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z w:val="20"/>
          <w:szCs w:val="20"/>
          <w:lang w:eastAsia="it-IT"/>
        </w:rPr>
        <w:t>di aver preso esatta cognizione della natura dell’appalto e di tutte le circostanze generali e particolari che possono influire sulla sua esecuzione</w:t>
      </w:r>
      <w:r w:rsidR="0005272D" w:rsidRPr="0005272D">
        <w:rPr>
          <w:rFonts w:ascii="Times New Roman" w:hAnsi="Times New Roman"/>
          <w:sz w:val="20"/>
          <w:szCs w:val="20"/>
          <w:lang w:eastAsia="it-IT"/>
        </w:rPr>
        <w:t>;</w:t>
      </w:r>
    </w:p>
    <w:p w14:paraId="17660DC0" w14:textId="77777777" w:rsidR="00AE3DBA" w:rsidRPr="00AE3DBA" w:rsidRDefault="003B25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essersi recato sul luogo di esecuzione dei lavori, </w:t>
      </w:r>
      <w:r w:rsidR="00F32E7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</w:t>
      </w:r>
      <w:r w:rsidR="00ED431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aver condotto un accurato sopralluogo 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e </w:t>
      </w:r>
      <w:r w:rsidR="00741D9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avere preso conoscenza delle condizioni locali, di quelle della viabilità di accesso e di transito ai</w:t>
      </w:r>
      <w:r w:rsidR="00ED431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cantieri, di quelle ambientali, dell’uso del suolo e delle urbanizzazioni;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</w:p>
    <w:p w14:paraId="412A41BC" w14:textId="77777777" w:rsidR="004D3674" w:rsidRPr="00ED416D" w:rsidRDefault="00AE3DB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essersi recato </w:t>
      </w:r>
      <w:r w:rsidR="000F47E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nell’area in cui ricadono i lavori</w:t>
      </w:r>
      <w:r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e di avere preso conoscenza </w:t>
      </w:r>
      <w:r w:rsidR="003B25B6" w:rsidRP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della disponibilità e distanza delle cave e delle discariche autorizzate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riconoscendole adeguate </w:t>
      </w:r>
      <w:r w:rsidR="00B27D4A"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all'entità, alla tipologia e categoria dei lavori in appalto</w:t>
      </w:r>
      <w:r w:rsidR="004C08B6"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0D28B1FA" w14:textId="77777777" w:rsidR="00830E04" w:rsidRPr="00830E04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di aver verificato la disponibilità e valutato tutti gli oneri conseguenti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(vitto, alloggio, trasferte, ecc..)</w:t>
      </w: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all’impiego della mano d'opera necessar</w:t>
      </w:r>
      <w:r w:rsidR="00830E0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ia per l'esecuzione dei lavori</w:t>
      </w:r>
      <w:r w:rsidR="00B27D4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6D406DC7" w14:textId="77777777" w:rsidR="00ED416D" w:rsidRPr="00866FA4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di aver accertato la disponibilità dei materiali, dei mezzi e delle attrezzature </w:t>
      </w:r>
      <w:r w:rsidR="00D31D7C" w:rsidRPr="00866F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necessar</w:t>
      </w:r>
      <w:r w:rsidR="00D31D7C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 per l'esecuzione dei lavori</w:t>
      </w:r>
      <w:r w:rsidR="003B25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14:paraId="5BC060B4" w14:textId="1C2AB357" w:rsidR="00866FA4" w:rsidRPr="00774C68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preso conoscenza degli obblighi e degli oneri relativi alle disposizioni in materia di sicurezza, di assicurazione, di condizioni di lavoro e di previdenza e assistenza in vigore nel luogo dove 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i lavori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devono essere eseguiti;</w:t>
      </w:r>
    </w:p>
    <w:p w14:paraId="0A00C0D0" w14:textId="77777777" w:rsidR="00774C68" w:rsidRPr="007B6E00" w:rsidRDefault="00774C68" w:rsidP="00774C68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 xml:space="preserve">dopo avere accuratamente esaminato tutti gli elaborati progettuali posti a base di gara, di non aver rilevato fatti o motivi tali da fare ritenere gli stessi non adeguati per la successiva completa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ed esaustiva </w:t>
      </w:r>
      <w:r w:rsidRPr="00443329">
        <w:rPr>
          <w:rFonts w:ascii="Times New Roman" w:eastAsia="Times New Roman" w:hAnsi="Times New Roman"/>
          <w:sz w:val="20"/>
          <w:szCs w:val="20"/>
          <w:lang w:eastAsia="it-IT"/>
        </w:rPr>
        <w:t>definizione delle opere da realizzare;</w:t>
      </w:r>
    </w:p>
    <w:p w14:paraId="7E4ACB81" w14:textId="6AEB26B6" w:rsidR="00D20A9E" w:rsidRPr="00D20A9E" w:rsidRDefault="00866FA4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di avere </w:t>
      </w:r>
      <w:r w:rsidR="00ED431B">
        <w:rPr>
          <w:rFonts w:ascii="Times New Roman" w:eastAsia="Times New Roman" w:hAnsi="Times New Roman"/>
          <w:sz w:val="20"/>
          <w:szCs w:val="20"/>
          <w:lang w:eastAsia="it-IT"/>
        </w:rPr>
        <w:t xml:space="preserve">attentamente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esaminato tutti gli elaborati del progetto</w:t>
      </w:r>
      <w:r w:rsidR="00ED431B">
        <w:rPr>
          <w:rFonts w:ascii="Times New Roman" w:eastAsia="Times New Roman" w:hAnsi="Times New Roman"/>
          <w:sz w:val="20"/>
          <w:szCs w:val="20"/>
          <w:lang w:eastAsia="it-IT"/>
        </w:rPr>
        <w:t xml:space="preserve"> esecutivo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posto a base di gara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, incluse le norme generali e le norme tecniche del Capitolato Speciale d’appalto, l’elenco dei prezzi unitari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, il computo metrico estimativo –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con le quantità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e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>ventualmente modificat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e dal concorrente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in sede di offerta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 xml:space="preserve"> -</w:t>
      </w:r>
      <w:r w:rsidR="00D362EE">
        <w:rPr>
          <w:rFonts w:ascii="Times New Roman" w:eastAsia="Times New Roman" w:hAnsi="Times New Roman"/>
          <w:sz w:val="20"/>
          <w:szCs w:val="20"/>
          <w:lang w:eastAsia="it-IT"/>
        </w:rPr>
        <w:t xml:space="preserve"> la stima degli oneri della sicurezza,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ritenendoli esaustivi e completi</w:t>
      </w:r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>, tali da c</w:t>
      </w:r>
      <w:r w:rsidR="00DF341A">
        <w:rPr>
          <w:rFonts w:ascii="Times New Roman" w:eastAsia="Times New Roman" w:hAnsi="Times New Roman"/>
          <w:sz w:val="20"/>
          <w:szCs w:val="20"/>
          <w:lang w:eastAsia="it-IT"/>
        </w:rPr>
        <w:t>onsentire la formulazione di un’</w:t>
      </w:r>
      <w:r w:rsidR="006C4C98">
        <w:rPr>
          <w:rFonts w:ascii="Times New Roman" w:eastAsia="Times New Roman" w:hAnsi="Times New Roman"/>
          <w:sz w:val="20"/>
          <w:szCs w:val="20"/>
          <w:lang w:eastAsia="it-IT"/>
        </w:rPr>
        <w:t>offerta tecnica ed economica in piena consapevolezza</w:t>
      </w:r>
      <w:r w:rsidR="00D20A9E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66E0635" w14:textId="49FE8269" w:rsidR="00866FA4" w:rsidRPr="00866FA4" w:rsidRDefault="00866FA4" w:rsidP="00E96EB4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di accettare, senza condizione o riserva alcuna, tutte le norme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disposizioni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 prescrizioni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contenute nel bando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isciplinare </w:t>
      </w:r>
      <w:r w:rsidR="00E96EB4" w:rsidRPr="00866FA4">
        <w:rPr>
          <w:rFonts w:ascii="Times New Roman" w:eastAsia="Times New Roman" w:hAnsi="Times New Roman"/>
          <w:sz w:val="20"/>
          <w:szCs w:val="20"/>
          <w:lang w:eastAsia="it-IT"/>
        </w:rPr>
        <w:t>di gara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nello schema di contratto, 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nel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le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norme generali e le norme tecniche del Capitolato Speciale d’appalto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 xml:space="preserve"> nel protocollo di legalità</w:t>
      </w:r>
      <w:r w:rsidR="0058736C">
        <w:rPr>
          <w:rFonts w:ascii="Times New Roman" w:eastAsia="Times New Roman" w:hAnsi="Times New Roman"/>
          <w:sz w:val="20"/>
          <w:szCs w:val="20"/>
          <w:lang w:eastAsia="it-IT"/>
        </w:rPr>
        <w:t xml:space="preserve"> del 2009</w:t>
      </w:r>
      <w:r w:rsidR="00E96EB4">
        <w:rPr>
          <w:rFonts w:ascii="Times New Roman" w:eastAsia="Times New Roman" w:hAnsi="Times New Roman"/>
          <w:sz w:val="20"/>
          <w:szCs w:val="20"/>
          <w:lang w:eastAsia="it-IT"/>
        </w:rPr>
        <w:t>, nel decreto del Commissario delegato di approvazione del progetto esecutivo</w:t>
      </w:r>
      <w:r w:rsidRPr="00866FA4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15F0D9ED" w14:textId="77777777" w:rsidR="00866FA4" w:rsidRPr="000078B5" w:rsidRDefault="000078B5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078B5">
        <w:rPr>
          <w:rFonts w:ascii="Times New Roman" w:eastAsia="Times New Roman" w:hAnsi="Times New Roman"/>
          <w:sz w:val="20"/>
          <w:szCs w:val="20"/>
          <w:lang w:eastAsia="it-IT"/>
        </w:rPr>
        <w:t>che l'indicazione delle voci riportate nell’elenco prezzi e delle quantità contenute nel computo metrico, non ha valore negoziale essendo il prezzo, fisso ed invariabile;</w:t>
      </w:r>
    </w:p>
    <w:p w14:paraId="166AC634" w14:textId="77777777" w:rsidR="007B6E00" w:rsidRPr="007425EA" w:rsidRDefault="007B6E0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B6E00">
        <w:rPr>
          <w:rFonts w:ascii="Times New Roman" w:eastAsia="Times New Roman" w:hAnsi="Times New Roman"/>
          <w:sz w:val="20"/>
          <w:szCs w:val="20"/>
          <w:lang w:eastAsia="it-IT"/>
        </w:rPr>
        <w:t xml:space="preserve">di accettare, senza riserva alcuna, i criteri e le modalità con i quali è stato determinato l’importo non soggetto a ribasso per l’attuazione dei piani di sicurezza, così come illustrato negli specifici elaborati del Progetto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esecu</w:t>
      </w:r>
      <w:r w:rsidRPr="007B6E00">
        <w:rPr>
          <w:rFonts w:ascii="Times New Roman" w:eastAsia="Times New Roman" w:hAnsi="Times New Roman"/>
          <w:sz w:val="20"/>
          <w:szCs w:val="20"/>
          <w:lang w:eastAsia="it-IT"/>
        </w:rPr>
        <w:t>tivo;</w:t>
      </w:r>
    </w:p>
    <w:p w14:paraId="194284B9" w14:textId="07F47CAE" w:rsidR="007425EA" w:rsidRPr="00FA7866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tenuto conto, nel formulare la propria offerta, e di accettare come rientrante 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>nel proprio rischio di impresa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 xml:space="preserve"> senza riserva alcuna, le eventuali maggiorazioni dei costi per lievitazione dei prezzi di mercato che dovessero intervenire durante l’esecuzione dei lavori, rinunciando fin d’ora a qualsiasi azione o eccezione in merito, fatta salva l’applicazione </w:t>
      </w:r>
      <w:r w:rsidR="00E4715B">
        <w:rPr>
          <w:rFonts w:ascii="Times New Roman" w:eastAsia="Times New Roman" w:hAnsi="Times New Roman"/>
          <w:sz w:val="20"/>
          <w:szCs w:val="20"/>
          <w:lang w:eastAsia="it-IT"/>
        </w:rPr>
        <w:t xml:space="preserve">dell’art. </w:t>
      </w:r>
      <w:r w:rsidR="00CE0F1E">
        <w:rPr>
          <w:rFonts w:ascii="Times New Roman" w:eastAsia="Times New Roman" w:hAnsi="Times New Roman"/>
          <w:sz w:val="20"/>
          <w:szCs w:val="20"/>
          <w:lang w:eastAsia="it-IT"/>
        </w:rPr>
        <w:t>35</w:t>
      </w:r>
      <w:r w:rsidR="00E4715B">
        <w:rPr>
          <w:rFonts w:ascii="Times New Roman" w:eastAsia="Times New Roman" w:hAnsi="Times New Roman"/>
          <w:sz w:val="20"/>
          <w:szCs w:val="20"/>
          <w:lang w:eastAsia="it-IT"/>
        </w:rPr>
        <w:t xml:space="preserve"> del Capitolato Speciale d’Appalto – Norme Generali</w:t>
      </w: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27EA59CB" w14:textId="77777777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di avere preso conoscenza di tutte le condizioni contrattuali e di esecuzione dei lavori, delle circostanze generali e particolari suscettibili di influire sulla determinazione del ribasso offerto;</w:t>
      </w:r>
    </w:p>
    <w:p w14:paraId="64837724" w14:textId="77777777" w:rsidR="007425EA" w:rsidRPr="007425EA" w:rsidRDefault="007425EA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7425EA">
        <w:rPr>
          <w:rFonts w:ascii="Times New Roman" w:eastAsia="Times New Roman" w:hAnsi="Times New Roman"/>
          <w:sz w:val="20"/>
          <w:szCs w:val="20"/>
          <w:lang w:eastAsia="it-IT"/>
        </w:rPr>
        <w:t>che il corrispettivo è, nel suo complesso, remunerativo e tale da consentire la realizzazione dei lavori;</w:t>
      </w:r>
    </w:p>
    <w:p w14:paraId="227E9B56" w14:textId="58614E10" w:rsidR="007425EA" w:rsidRPr="002833F0" w:rsidRDefault="002833F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che il prezzo offerto è quello per il quale si impegna irrevocabilmente ad eseguire i lavori, a prescindere dalle voci e dalle quantità che saranno effettivamente necessarie per dare l’opera compiuta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 xml:space="preserve"> a regola d’arte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6E1A045C" w14:textId="4ABC8A53" w:rsidR="002833F0" w:rsidRPr="00F536DE" w:rsidRDefault="002833F0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lastRenderedPageBreak/>
        <w:t>che l'offerta è valida per</w:t>
      </w:r>
      <w:r w:rsidR="00774C68">
        <w:rPr>
          <w:rFonts w:ascii="Times New Roman" w:eastAsia="Times New Roman" w:hAnsi="Times New Roman"/>
          <w:sz w:val="20"/>
          <w:szCs w:val="20"/>
          <w:lang w:eastAsia="it-IT"/>
        </w:rPr>
        <w:t xml:space="preserve"> i</w:t>
      </w:r>
      <w:r w:rsidRPr="002833F0">
        <w:rPr>
          <w:rFonts w:ascii="Times New Roman" w:eastAsia="Times New Roman" w:hAnsi="Times New Roman"/>
          <w:sz w:val="20"/>
          <w:szCs w:val="20"/>
          <w:lang w:eastAsia="it-IT"/>
        </w:rPr>
        <w:t xml:space="preserve"> 360 giorni successivi alla scadenza del termine di presentazione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della stessa;</w:t>
      </w:r>
    </w:p>
    <w:p w14:paraId="3E137941" w14:textId="60F5076D" w:rsidR="00F536DE" w:rsidRPr="00F536DE" w:rsidRDefault="00F536DE" w:rsidP="00F536DE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F536DE">
        <w:rPr>
          <w:rFonts w:ascii="Times New Roman" w:eastAsia="Times New Roman" w:hAnsi="Times New Roman"/>
          <w:sz w:val="20"/>
          <w:szCs w:val="20"/>
          <w:lang w:eastAsia="it-IT"/>
        </w:rPr>
        <w:t>di essere pienamente informato che la procedura di gara potrà essere annullata nel caso lo stato emergenziale non dovesse essere prorogato, e che tale annullamento non comporterà alcun indennizzo o risarcimento al concorrente.</w:t>
      </w:r>
    </w:p>
    <w:p w14:paraId="7726409E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1189EFB4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73BD7B11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47274199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80C5F53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1DB1DDB4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4B93011B" w14:textId="30DB6B84" w:rsidR="004D3674" w:rsidRPr="009E7F65" w:rsidRDefault="00F755CB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45 del </w:t>
      </w:r>
      <w:proofErr w:type="spellStart"/>
      <w:proofErr w:type="gramStart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F755C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da un procuratore del concorrente munito di 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619E43EB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FA089C8" w14:textId="0C0EAF37" w:rsidR="004D3674" w:rsidRPr="009E7F65" w:rsidRDefault="005167A8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45 del </w:t>
      </w:r>
      <w:proofErr w:type="spellStart"/>
      <w:proofErr w:type="gramStart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sia già stato costituito, la scheda deve essere sottoscritta da un legale rappresentante della mandataria o da un procuratore della medesima munito di procura speciale (da allegare all’offerta).</w:t>
      </w:r>
    </w:p>
    <w:p w14:paraId="1CD2775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1398C4A" w14:textId="77777777" w:rsidR="004D3674" w:rsidRDefault="005167A8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deve essere sottoscritta da un legale rappresentante del consorzio o da un procuratore del medesimo munito di procura speciale (da allegare all’offerta).</w:t>
      </w:r>
    </w:p>
    <w:p w14:paraId="27C7CF7F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7700218" w14:textId="77777777" w:rsidR="004D3674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temporaneo o consorzio ordinario non sia ancora costituito, ai sensi del comma 8 dell’art. 48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ciascuno degli operatori economici che formeranno il raggruppamento o il consorzio ordinario, nella persona di un proprio legale rappresentante o di un procuratore munito di procura speciale (da allegare all’offerta).</w:t>
      </w:r>
    </w:p>
    <w:p w14:paraId="5F0D2D15" w14:textId="77777777" w:rsidR="005167A8" w:rsidRDefault="005167A8" w:rsidP="005167A8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875AB8" w14:textId="77777777" w:rsidR="005167A8" w:rsidRPr="00D8034F" w:rsidRDefault="005167A8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45 del </w:t>
      </w:r>
      <w:proofErr w:type="spellStart"/>
      <w:proofErr w:type="gramStart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5167A8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soggetto dotato di idonei poteri di rappresentanza del concorrente, la cui titolarità deve essere dimostrata allegando la necessaria documentazione probatoria.</w:t>
      </w:r>
    </w:p>
    <w:p w14:paraId="3EB00163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13203D1" w14:textId="069AD1DF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B14FE" w14:textId="77777777" w:rsidR="00246C6E" w:rsidRDefault="00246C6E" w:rsidP="00F061F7">
      <w:pPr>
        <w:spacing w:after="0" w:line="240" w:lineRule="auto"/>
      </w:pPr>
      <w:r>
        <w:separator/>
      </w:r>
    </w:p>
  </w:endnote>
  <w:endnote w:type="continuationSeparator" w:id="0">
    <w:p w14:paraId="072C2376" w14:textId="77777777" w:rsidR="00246C6E" w:rsidRDefault="00246C6E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08043" w14:textId="45B2ABF2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305BA">
      <w:rPr>
        <w:noProof/>
      </w:rPr>
      <w:t>1</w:t>
    </w:r>
    <w:r>
      <w:fldChar w:fldCharType="end"/>
    </w:r>
  </w:p>
  <w:p w14:paraId="48C56B5F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69123" w14:textId="77777777" w:rsidR="00246C6E" w:rsidRDefault="00246C6E" w:rsidP="00F061F7">
      <w:pPr>
        <w:spacing w:after="0" w:line="240" w:lineRule="auto"/>
      </w:pPr>
      <w:r>
        <w:separator/>
      </w:r>
    </w:p>
  </w:footnote>
  <w:footnote w:type="continuationSeparator" w:id="0">
    <w:p w14:paraId="7B39BF22" w14:textId="77777777" w:rsidR="00246C6E" w:rsidRDefault="00246C6E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F2D6C46E"/>
    <w:lvl w:ilvl="0" w:tplc="5928C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078B5"/>
    <w:rsid w:val="0005272D"/>
    <w:rsid w:val="00055BB5"/>
    <w:rsid w:val="000643F7"/>
    <w:rsid w:val="00067264"/>
    <w:rsid w:val="000833C7"/>
    <w:rsid w:val="000A775C"/>
    <w:rsid w:val="000B0C77"/>
    <w:rsid w:val="000B30BA"/>
    <w:rsid w:val="000C5DCC"/>
    <w:rsid w:val="000C712C"/>
    <w:rsid w:val="000F47ED"/>
    <w:rsid w:val="000F77FE"/>
    <w:rsid w:val="00104956"/>
    <w:rsid w:val="00112E9F"/>
    <w:rsid w:val="00126EB4"/>
    <w:rsid w:val="0013485F"/>
    <w:rsid w:val="00154393"/>
    <w:rsid w:val="001654EF"/>
    <w:rsid w:val="001F4CBF"/>
    <w:rsid w:val="002068E3"/>
    <w:rsid w:val="00225519"/>
    <w:rsid w:val="002265FC"/>
    <w:rsid w:val="0022739A"/>
    <w:rsid w:val="00237AE8"/>
    <w:rsid w:val="00242C7E"/>
    <w:rsid w:val="00246C6E"/>
    <w:rsid w:val="00250F9A"/>
    <w:rsid w:val="002679B0"/>
    <w:rsid w:val="00271898"/>
    <w:rsid w:val="002833F0"/>
    <w:rsid w:val="0028746C"/>
    <w:rsid w:val="002B1D87"/>
    <w:rsid w:val="00313E5A"/>
    <w:rsid w:val="00332386"/>
    <w:rsid w:val="00350476"/>
    <w:rsid w:val="00352FD1"/>
    <w:rsid w:val="003555B4"/>
    <w:rsid w:val="00365227"/>
    <w:rsid w:val="003A6D71"/>
    <w:rsid w:val="003B25B6"/>
    <w:rsid w:val="003D0DA7"/>
    <w:rsid w:val="003E06B8"/>
    <w:rsid w:val="00410247"/>
    <w:rsid w:val="0042577F"/>
    <w:rsid w:val="00426703"/>
    <w:rsid w:val="00430945"/>
    <w:rsid w:val="00443329"/>
    <w:rsid w:val="004C08B6"/>
    <w:rsid w:val="004C5D2E"/>
    <w:rsid w:val="004D3674"/>
    <w:rsid w:val="004E639E"/>
    <w:rsid w:val="004F07F5"/>
    <w:rsid w:val="005167A8"/>
    <w:rsid w:val="00524DDF"/>
    <w:rsid w:val="00547299"/>
    <w:rsid w:val="0058736C"/>
    <w:rsid w:val="00591A86"/>
    <w:rsid w:val="005C5C37"/>
    <w:rsid w:val="005F4A06"/>
    <w:rsid w:val="00663F93"/>
    <w:rsid w:val="00691BAB"/>
    <w:rsid w:val="006A7680"/>
    <w:rsid w:val="006B792D"/>
    <w:rsid w:val="006C4C98"/>
    <w:rsid w:val="006F5461"/>
    <w:rsid w:val="00707004"/>
    <w:rsid w:val="00723E62"/>
    <w:rsid w:val="00724F12"/>
    <w:rsid w:val="00725214"/>
    <w:rsid w:val="00741D9C"/>
    <w:rsid w:val="007425EA"/>
    <w:rsid w:val="007567E2"/>
    <w:rsid w:val="00774C68"/>
    <w:rsid w:val="007773D7"/>
    <w:rsid w:val="0078390A"/>
    <w:rsid w:val="00784A2F"/>
    <w:rsid w:val="00793A8C"/>
    <w:rsid w:val="00794D94"/>
    <w:rsid w:val="007A5CA5"/>
    <w:rsid w:val="007B32D5"/>
    <w:rsid w:val="007B6E00"/>
    <w:rsid w:val="007C4673"/>
    <w:rsid w:val="007C4814"/>
    <w:rsid w:val="0080768E"/>
    <w:rsid w:val="00815839"/>
    <w:rsid w:val="00830E04"/>
    <w:rsid w:val="008366C5"/>
    <w:rsid w:val="00856395"/>
    <w:rsid w:val="00865E44"/>
    <w:rsid w:val="00866FA4"/>
    <w:rsid w:val="008727ED"/>
    <w:rsid w:val="00895820"/>
    <w:rsid w:val="008A2EF1"/>
    <w:rsid w:val="008A722F"/>
    <w:rsid w:val="008B1A19"/>
    <w:rsid w:val="008C0F42"/>
    <w:rsid w:val="008F77A4"/>
    <w:rsid w:val="00911427"/>
    <w:rsid w:val="009241FD"/>
    <w:rsid w:val="00950370"/>
    <w:rsid w:val="00951055"/>
    <w:rsid w:val="00951AFF"/>
    <w:rsid w:val="00956D40"/>
    <w:rsid w:val="00970D3C"/>
    <w:rsid w:val="009907A2"/>
    <w:rsid w:val="009931D4"/>
    <w:rsid w:val="009E1F68"/>
    <w:rsid w:val="009E7F65"/>
    <w:rsid w:val="00A152AB"/>
    <w:rsid w:val="00A2723D"/>
    <w:rsid w:val="00A279DB"/>
    <w:rsid w:val="00A314F1"/>
    <w:rsid w:val="00A41AE0"/>
    <w:rsid w:val="00A704FE"/>
    <w:rsid w:val="00AB3830"/>
    <w:rsid w:val="00AB7703"/>
    <w:rsid w:val="00AC5BAC"/>
    <w:rsid w:val="00AE3DBA"/>
    <w:rsid w:val="00AF6AC1"/>
    <w:rsid w:val="00B02BD7"/>
    <w:rsid w:val="00B11FBD"/>
    <w:rsid w:val="00B13752"/>
    <w:rsid w:val="00B15F2C"/>
    <w:rsid w:val="00B209DC"/>
    <w:rsid w:val="00B27D4A"/>
    <w:rsid w:val="00B305BA"/>
    <w:rsid w:val="00B9643A"/>
    <w:rsid w:val="00BA181D"/>
    <w:rsid w:val="00BE4707"/>
    <w:rsid w:val="00BF0068"/>
    <w:rsid w:val="00C1254F"/>
    <w:rsid w:val="00C20F67"/>
    <w:rsid w:val="00C6769E"/>
    <w:rsid w:val="00CB1173"/>
    <w:rsid w:val="00CD453E"/>
    <w:rsid w:val="00CE059B"/>
    <w:rsid w:val="00CE0F1E"/>
    <w:rsid w:val="00CF2E59"/>
    <w:rsid w:val="00D0733B"/>
    <w:rsid w:val="00D20A9E"/>
    <w:rsid w:val="00D31D7C"/>
    <w:rsid w:val="00D362EE"/>
    <w:rsid w:val="00D406D0"/>
    <w:rsid w:val="00D8034F"/>
    <w:rsid w:val="00DA47BF"/>
    <w:rsid w:val="00DC3A33"/>
    <w:rsid w:val="00DD31D5"/>
    <w:rsid w:val="00DD4CC0"/>
    <w:rsid w:val="00DF341A"/>
    <w:rsid w:val="00E20D13"/>
    <w:rsid w:val="00E4715B"/>
    <w:rsid w:val="00E529CB"/>
    <w:rsid w:val="00E53F6F"/>
    <w:rsid w:val="00E848FB"/>
    <w:rsid w:val="00E96EB4"/>
    <w:rsid w:val="00ED416D"/>
    <w:rsid w:val="00ED431B"/>
    <w:rsid w:val="00F02CEB"/>
    <w:rsid w:val="00F061F7"/>
    <w:rsid w:val="00F10676"/>
    <w:rsid w:val="00F21165"/>
    <w:rsid w:val="00F32E7A"/>
    <w:rsid w:val="00F536DE"/>
    <w:rsid w:val="00F70E84"/>
    <w:rsid w:val="00F755CB"/>
    <w:rsid w:val="00F937FC"/>
    <w:rsid w:val="00FA7866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892B0"/>
  <w15:docId w15:val="{8E3EB3C0-4CFD-41AD-9019-D57301D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6</cp:revision>
  <dcterms:created xsi:type="dcterms:W3CDTF">2017-10-13T10:50:00Z</dcterms:created>
  <dcterms:modified xsi:type="dcterms:W3CDTF">2017-10-17T14:29:00Z</dcterms:modified>
</cp:coreProperties>
</file>