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CA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7B8597BB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55BB5"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</w:t>
      </w:r>
      <w:r w:rsidR="00055BB5">
        <w:rPr>
          <w:rFonts w:ascii="Times New Roman" w:hAnsi="Times New Roman"/>
          <w:b/>
          <w:snapToGrid w:val="0"/>
          <w:lang w:eastAsia="it-IT"/>
        </w:rPr>
        <w:t>i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 xml:space="preserve"> </w:t>
      </w:r>
      <w:r w:rsidR="00055BB5">
        <w:rPr>
          <w:rFonts w:ascii="Times New Roman" w:hAnsi="Times New Roman"/>
          <w:b/>
          <w:snapToGrid w:val="0"/>
          <w:lang w:eastAsia="it-IT"/>
        </w:rPr>
        <w:t>del concorrente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4F1AE4A8" w14:textId="77777777"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i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LAVORI DI AMPLIAMENTO DELL’AUTOSTRADA A4 CON LA TERZA CORSIA LOTTO II TRATTO SAN DONA’ DI PIAVE – SVINCOLO DI ALVISOPOLI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 -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SUB-LOTTO 1: ASSE AUTOSTRADALE DALLA PROGR. KM 451+021 (EX 54+545) ALLA PROGR. KM 459+776 (EX 63+300) E CANALE DI GRONDA FOSSON-LONCON</w:t>
      </w:r>
    </w:p>
    <w:p w14:paraId="55C2E775" w14:textId="5A2247B5"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C.I.G.: </w:t>
      </w:r>
      <w:r w:rsidR="004F07F5" w:rsidRPr="004F07F5">
        <w:rPr>
          <w:rFonts w:ascii="Times New Roman" w:hAnsi="Times New Roman"/>
          <w:lang w:eastAsia="it-IT"/>
        </w:rPr>
        <w:t>71676682C0</w:t>
      </w:r>
      <w:bookmarkStart w:id="0" w:name="_GoBack"/>
      <w:bookmarkEnd w:id="0"/>
    </w:p>
    <w:p w14:paraId="313658F5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0CFF8699" w14:textId="77777777"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14:paraId="41DB5C05" w14:textId="77777777" w:rsidR="004D3674" w:rsidRPr="00ED416D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z w:val="20"/>
          <w:szCs w:val="20"/>
          <w:lang w:eastAsia="it-IT"/>
        </w:rPr>
        <w:t>di aver preso esatta cognizione della natura dell’appalto e di tutte le circostanze generali e particolari che possono influire sulla sua esecuzione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>;</w:t>
      </w:r>
    </w:p>
    <w:p w14:paraId="17660DC0" w14:textId="77777777" w:rsidR="00AE3DBA" w:rsidRPr="00AE3DBA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essersi recato sul luogo di esecuzione dei lavori, </w:t>
      </w:r>
      <w:r w:rsidR="00F32E7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</w:t>
      </w:r>
      <w:r w:rsidR="00ED431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aver condotto un accurato sopralluogo 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="00741D9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avere preso conoscenza delle condizioni locali, di quelle della viabilità di accesso e di transito ai</w:t>
      </w:r>
      <w:r w:rsidR="00ED431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cantieri, di quelle ambientali, dell’uso del suolo e delle urbanizzazioni;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</w:p>
    <w:p w14:paraId="412A41BC" w14:textId="77777777" w:rsidR="004D3674" w:rsidRPr="00ED416D" w:rsidRDefault="00AE3DB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essersi recato </w:t>
      </w:r>
      <w:r w:rsidR="000F47E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nell’area in cui ricadono i lavori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 di avere preso conoscenza </w:t>
      </w:r>
      <w:r w:rsidR="003B25B6"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della disponibilità e distanza delle cave e delle discariche autorizzate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riconoscendole adeguate </w:t>
      </w:r>
      <w:r w:rsidR="00B27D4A"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all'entità, alla tipologia e categoria dei lavori in appalto</w:t>
      </w:r>
      <w:r w:rsidR="004C08B6"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0D28B1FA" w14:textId="77777777" w:rsidR="00830E04" w:rsidRPr="00830E0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aver verificato la disponibilità e valutato tutti gli oneri conseguenti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(vitto, alloggio, trasferte, ecc..)</w:t>
      </w: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all’impiego della mano d'opera necessar</w:t>
      </w:r>
      <w:r w:rsidR="00830E0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ia per l'esecuzione dei lavori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D406DC7" w14:textId="77777777" w:rsidR="00ED416D" w:rsidRPr="00866FA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aver accertato la disponibilità dei materiali, dei mezzi e delle attrezzature </w:t>
      </w:r>
      <w:r w:rsidR="00D31D7C"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necessar</w:t>
      </w:r>
      <w:r w:rsidR="00D31D7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 per l'esecuzione dei lavori</w:t>
      </w:r>
      <w:r w:rsid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BC060B4" w14:textId="1C2AB357" w:rsidR="00866FA4" w:rsidRPr="00774C68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conoscenza degli obblighi e degli oneri relativi alle disposizioni in materia di sicurezza, di assicurazione, di condizioni di lavoro e di previdenza e assistenza in vigore nel luogo dove 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i lavori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devono essere eseguiti;</w:t>
      </w:r>
    </w:p>
    <w:p w14:paraId="0A00C0D0" w14:textId="77777777" w:rsidR="00774C68" w:rsidRPr="007B6E00" w:rsidRDefault="00774C68" w:rsidP="00774C6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ed esaustiva 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>definizione delle opere da realizzare;</w:t>
      </w:r>
    </w:p>
    <w:p w14:paraId="7E4ACB81" w14:textId="77777777" w:rsidR="00D20A9E" w:rsidRPr="00D20A9E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attentamente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esaminato tutti gli elaborati del progetto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 esecutivo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posto a base di gara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, incluse le norme generali e le norme tecniche del Capitolato Speciale d’appalto, l’elenco dei prezzi unitari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, il computo metrico estimativo –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con le quantità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ventualmente modificat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e dal concorrente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in sede di offerta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 xml:space="preserve"> -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la stima degli oneri della sicurezza,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ritenendoli esaustivi e completi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, tali da consentire la formulazione di un offerta tecnica ed economica in piena consapevolezza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66E0635" w14:textId="77777777" w:rsidR="00866FA4" w:rsidRPr="00866FA4" w:rsidRDefault="00866FA4" w:rsidP="00E96EB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di accettare, senza condizione o riserva alcuna, tutte le norme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disposizioni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 prescrizioni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contenute nel bando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isciplinare </w:t>
      </w:r>
      <w:r w:rsidR="00E96EB4" w:rsidRPr="00866FA4">
        <w:rPr>
          <w:rFonts w:ascii="Times New Roman" w:eastAsia="Times New Roman" w:hAnsi="Times New Roman"/>
          <w:sz w:val="20"/>
          <w:szCs w:val="20"/>
          <w:lang w:eastAsia="it-IT"/>
        </w:rPr>
        <w:t>di gara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nello schema di contratto,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nel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le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norme generali e le norme tecniche del Capitolato Speciale d’appalto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nel protocollo di legalità, nel protocollo di monitoraggio dei flussi finanziari, nel progetto esecutivo, nella Deliberazione CIPE </w:t>
      </w:r>
      <w:r w:rsidR="00E96EB4" w:rsidRPr="00E96EB4">
        <w:rPr>
          <w:rFonts w:ascii="Times New Roman" w:eastAsia="Times New Roman" w:hAnsi="Times New Roman"/>
          <w:sz w:val="20"/>
          <w:szCs w:val="20"/>
          <w:lang w:eastAsia="it-IT"/>
        </w:rPr>
        <w:t>n.13/2005 di data 18 marzo 2005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 nel decreto del Commissario delegato di approvazione del progetto esecutivo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5F0D9ED" w14:textId="77777777" w:rsidR="00866FA4" w:rsidRPr="000078B5" w:rsidRDefault="000078B5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078B5">
        <w:rPr>
          <w:rFonts w:ascii="Times New Roman" w:eastAsia="Times New Roman" w:hAnsi="Times New Roman"/>
          <w:sz w:val="20"/>
          <w:szCs w:val="20"/>
          <w:lang w:eastAsia="it-IT"/>
        </w:rPr>
        <w:t>che l'indicazione delle voci riportate nell’elenco prezzi e delle quantità contenute nel computo metrico, non ha valore negoziale essendo il prezzo, fisso ed invariabile;</w:t>
      </w:r>
    </w:p>
    <w:p w14:paraId="166AC634" w14:textId="77777777" w:rsidR="007B6E00" w:rsidRPr="007425EA" w:rsidRDefault="007B6E0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B6E00">
        <w:rPr>
          <w:rFonts w:ascii="Times New Roman" w:eastAsia="Times New Roman" w:hAnsi="Times New Roman"/>
          <w:sz w:val="20"/>
          <w:szCs w:val="20"/>
          <w:lang w:eastAsia="it-IT"/>
        </w:rPr>
        <w:t xml:space="preserve">di accettare, senza riserva alcuna, i criteri e le modalità con i quali è stato determinato l’importo non soggetto a ribasso per l’attuazione dei piani di sicurezza, così come illustrato negli specifici elaborati del Progetto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esecu</w:t>
      </w:r>
      <w:r w:rsidRPr="007B6E00">
        <w:rPr>
          <w:rFonts w:ascii="Times New Roman" w:eastAsia="Times New Roman" w:hAnsi="Times New Roman"/>
          <w:sz w:val="20"/>
          <w:szCs w:val="20"/>
          <w:lang w:eastAsia="it-IT"/>
        </w:rPr>
        <w:t>tivo;</w:t>
      </w:r>
    </w:p>
    <w:p w14:paraId="194284B9" w14:textId="07F47CAE" w:rsidR="007425EA" w:rsidRPr="00FA7866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tenuto conto, nel formulare la propria offerta, e di accettare come rientrante 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>nel proprio rischio di impresa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 senza riserva alcuna, le eventuali maggiorazioni dei costi per lievitazione dei prezzi di mercato che dovessero intervenire durante l’esecuzione dei lavori, rinunciando fin d’ora a qualsiasi azione o eccezione in merito, fatta salva l’applicazione </w:t>
      </w:r>
      <w:r w:rsidR="00E4715B">
        <w:rPr>
          <w:rFonts w:ascii="Times New Roman" w:eastAsia="Times New Roman" w:hAnsi="Times New Roman"/>
          <w:sz w:val="20"/>
          <w:szCs w:val="20"/>
          <w:lang w:eastAsia="it-IT"/>
        </w:rPr>
        <w:t xml:space="preserve">dell’art. </w:t>
      </w:r>
      <w:r w:rsidR="00CE0F1E">
        <w:rPr>
          <w:rFonts w:ascii="Times New Roman" w:eastAsia="Times New Roman" w:hAnsi="Times New Roman"/>
          <w:sz w:val="20"/>
          <w:szCs w:val="20"/>
          <w:lang w:eastAsia="it-IT"/>
        </w:rPr>
        <w:t>35</w:t>
      </w:r>
      <w:r w:rsidR="00E4715B">
        <w:rPr>
          <w:rFonts w:ascii="Times New Roman" w:eastAsia="Times New Roman" w:hAnsi="Times New Roman"/>
          <w:sz w:val="20"/>
          <w:szCs w:val="20"/>
          <w:lang w:eastAsia="it-IT"/>
        </w:rPr>
        <w:t xml:space="preserve"> del Capitolato Speciale d’Appalto – Norme Generali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27EA59CB" w14:textId="77777777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di avere preso conoscenza di tutte le condizioni contrattuali e di esecuzione dei lavori, delle circostanze generali e particolari suscettibili di influire sulla determinazione del ribasso offerto;</w:t>
      </w:r>
    </w:p>
    <w:p w14:paraId="64837724" w14:textId="77777777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che il corrispettivo è, nel suo complesso, remunerativo e tale da consentire la realizzazione dei lavori;</w:t>
      </w:r>
    </w:p>
    <w:p w14:paraId="227E9B56" w14:textId="38C1FB81" w:rsidR="007425EA" w:rsidRPr="002833F0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 il prezzo offerto è quello per il quale si impegna irrevocabilmente ad eseguire i lavori, a prescindere dalle voci e dalle quantità che saranno effettivamente necessarie per dare l’opera compiuta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a regola d’arte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6E1A045C" w14:textId="33A90D05" w:rsidR="002833F0" w:rsidRPr="00C20F67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l'offerta è valida per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 360 giorni successivi alla scadenza del termine di presentazione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della stessa;</w:t>
      </w:r>
    </w:p>
    <w:p w14:paraId="7726409E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89EFB4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73BD7B11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47274199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0C5F53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DB1DDB4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B93011B" w14:textId="77777777" w:rsidR="004D3674" w:rsidRPr="009E7F65" w:rsidRDefault="00F755CB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a), b) e c) del comma 2 dell’art. 45 del D.Lgs. 50/2016 s.m.i., la scheda deve essere sottoscritta da un legale rappresentante o da un procuratore del concorrente munito di procura speciale (da allegare all’offerta 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619E43EB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FA089C8" w14:textId="77777777" w:rsidR="004D3674" w:rsidRPr="009E7F65" w:rsidRDefault="005167A8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del comma 2 dell’art. 45 del D.Lgs. 50/2016 s.m.i., ed il raggruppamento temporaneo sia già stato costituito, la scheda deve essere sottoscritta da un legale rappresentante della mandataria o da un procuratore della medesima munito di procura speciale (da allegare all’offerta ).</w:t>
      </w:r>
    </w:p>
    <w:p w14:paraId="1CD2775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1398C4A" w14:textId="77777777" w:rsidR="004D3674" w:rsidRDefault="005167A8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sottoscritta da un legale rappresentante del consorzio o da un procuratore del medesimo munito di procura speciale (da allegare all’offerta).</w:t>
      </w:r>
    </w:p>
    <w:p w14:paraId="27C7CF7F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7700218" w14:textId="77777777" w:rsidR="004D3674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5F0D2D15" w14:textId="77777777" w:rsidR="005167A8" w:rsidRDefault="005167A8" w:rsidP="005167A8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875AB8" w14:textId="77777777" w:rsidR="005167A8" w:rsidRPr="00D8034F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f) e g) del comma 2 dell’art. 45 del D.Lgs. 50/2016 s.m.i., la scheda deve essere sottoscritta da soggetto dotato di idonei poteri di rappresentanza del concorrente, la cui titolarità deve essere dimostrata allegando la necessaria documentazione probatoria.</w:t>
      </w:r>
    </w:p>
    <w:p w14:paraId="3EB00163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13203D1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74D9" w14:textId="77777777" w:rsidR="008A2EF1" w:rsidRDefault="008A2EF1" w:rsidP="00F061F7">
      <w:pPr>
        <w:spacing w:after="0" w:line="240" w:lineRule="auto"/>
      </w:pPr>
      <w:r>
        <w:separator/>
      </w:r>
    </w:p>
  </w:endnote>
  <w:endnote w:type="continuationSeparator" w:id="0">
    <w:p w14:paraId="348DCE3A" w14:textId="77777777" w:rsidR="008A2EF1" w:rsidRDefault="008A2EF1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8043" w14:textId="00F65DA4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F07F5">
      <w:rPr>
        <w:noProof/>
      </w:rPr>
      <w:t>1</w:t>
    </w:r>
    <w:r>
      <w:fldChar w:fldCharType="end"/>
    </w:r>
  </w:p>
  <w:p w14:paraId="48C56B5F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54DB" w14:textId="77777777" w:rsidR="008A2EF1" w:rsidRDefault="008A2EF1" w:rsidP="00F061F7">
      <w:pPr>
        <w:spacing w:after="0" w:line="240" w:lineRule="auto"/>
      </w:pPr>
      <w:r>
        <w:separator/>
      </w:r>
    </w:p>
  </w:footnote>
  <w:footnote w:type="continuationSeparator" w:id="0">
    <w:p w14:paraId="27D10324" w14:textId="77777777" w:rsidR="008A2EF1" w:rsidRDefault="008A2EF1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F2D6C46E"/>
    <w:lvl w:ilvl="0" w:tplc="5928C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078B5"/>
    <w:rsid w:val="0005272D"/>
    <w:rsid w:val="00055BB5"/>
    <w:rsid w:val="000643F7"/>
    <w:rsid w:val="00067264"/>
    <w:rsid w:val="000833C7"/>
    <w:rsid w:val="000A775C"/>
    <w:rsid w:val="000B0C77"/>
    <w:rsid w:val="000B30BA"/>
    <w:rsid w:val="000C5DCC"/>
    <w:rsid w:val="000C712C"/>
    <w:rsid w:val="000F47ED"/>
    <w:rsid w:val="000F77FE"/>
    <w:rsid w:val="00104956"/>
    <w:rsid w:val="00112E9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679B0"/>
    <w:rsid w:val="00271898"/>
    <w:rsid w:val="002833F0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B25B6"/>
    <w:rsid w:val="003D0DA7"/>
    <w:rsid w:val="003E06B8"/>
    <w:rsid w:val="00410247"/>
    <w:rsid w:val="0042577F"/>
    <w:rsid w:val="00426703"/>
    <w:rsid w:val="00430945"/>
    <w:rsid w:val="00443329"/>
    <w:rsid w:val="004C08B6"/>
    <w:rsid w:val="004C5D2E"/>
    <w:rsid w:val="004D3674"/>
    <w:rsid w:val="004E639E"/>
    <w:rsid w:val="004F07F5"/>
    <w:rsid w:val="005167A8"/>
    <w:rsid w:val="00524DDF"/>
    <w:rsid w:val="00547299"/>
    <w:rsid w:val="00591A86"/>
    <w:rsid w:val="005C5C37"/>
    <w:rsid w:val="005F4A06"/>
    <w:rsid w:val="00663F93"/>
    <w:rsid w:val="00691BAB"/>
    <w:rsid w:val="006A7680"/>
    <w:rsid w:val="006C4C98"/>
    <w:rsid w:val="006F5461"/>
    <w:rsid w:val="00723E62"/>
    <w:rsid w:val="00724F12"/>
    <w:rsid w:val="00725214"/>
    <w:rsid w:val="00741D9C"/>
    <w:rsid w:val="007425EA"/>
    <w:rsid w:val="007567E2"/>
    <w:rsid w:val="00774C68"/>
    <w:rsid w:val="007773D7"/>
    <w:rsid w:val="0078390A"/>
    <w:rsid w:val="00784A2F"/>
    <w:rsid w:val="00793A8C"/>
    <w:rsid w:val="00794D94"/>
    <w:rsid w:val="007A5CA5"/>
    <w:rsid w:val="007B32D5"/>
    <w:rsid w:val="007B6E00"/>
    <w:rsid w:val="007C4673"/>
    <w:rsid w:val="007C4814"/>
    <w:rsid w:val="0080768E"/>
    <w:rsid w:val="00815839"/>
    <w:rsid w:val="00830E04"/>
    <w:rsid w:val="008366C5"/>
    <w:rsid w:val="00856395"/>
    <w:rsid w:val="00865E44"/>
    <w:rsid w:val="00866FA4"/>
    <w:rsid w:val="008727ED"/>
    <w:rsid w:val="00895820"/>
    <w:rsid w:val="008A2EF1"/>
    <w:rsid w:val="008A722F"/>
    <w:rsid w:val="008B1A19"/>
    <w:rsid w:val="008C0F42"/>
    <w:rsid w:val="008F77A4"/>
    <w:rsid w:val="009241FD"/>
    <w:rsid w:val="00950370"/>
    <w:rsid w:val="00951055"/>
    <w:rsid w:val="00951AFF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C5BAC"/>
    <w:rsid w:val="00AE3DBA"/>
    <w:rsid w:val="00AF6AC1"/>
    <w:rsid w:val="00B02BD7"/>
    <w:rsid w:val="00B11FBD"/>
    <w:rsid w:val="00B13752"/>
    <w:rsid w:val="00B15F2C"/>
    <w:rsid w:val="00B209DC"/>
    <w:rsid w:val="00B27D4A"/>
    <w:rsid w:val="00B9643A"/>
    <w:rsid w:val="00BA181D"/>
    <w:rsid w:val="00BE4707"/>
    <w:rsid w:val="00BF0068"/>
    <w:rsid w:val="00C1254F"/>
    <w:rsid w:val="00C20F67"/>
    <w:rsid w:val="00C6769E"/>
    <w:rsid w:val="00CB1173"/>
    <w:rsid w:val="00CD453E"/>
    <w:rsid w:val="00CE059B"/>
    <w:rsid w:val="00CE0F1E"/>
    <w:rsid w:val="00CF2E59"/>
    <w:rsid w:val="00D0733B"/>
    <w:rsid w:val="00D20A9E"/>
    <w:rsid w:val="00D31D7C"/>
    <w:rsid w:val="00D362EE"/>
    <w:rsid w:val="00D406D0"/>
    <w:rsid w:val="00D8034F"/>
    <w:rsid w:val="00DA47BF"/>
    <w:rsid w:val="00DC3A33"/>
    <w:rsid w:val="00DD31D5"/>
    <w:rsid w:val="00DD4CC0"/>
    <w:rsid w:val="00E20D13"/>
    <w:rsid w:val="00E4715B"/>
    <w:rsid w:val="00E529CB"/>
    <w:rsid w:val="00E53F6F"/>
    <w:rsid w:val="00E848FB"/>
    <w:rsid w:val="00E96EB4"/>
    <w:rsid w:val="00ED416D"/>
    <w:rsid w:val="00ED431B"/>
    <w:rsid w:val="00F02CEB"/>
    <w:rsid w:val="00F061F7"/>
    <w:rsid w:val="00F10676"/>
    <w:rsid w:val="00F21165"/>
    <w:rsid w:val="00F32E7A"/>
    <w:rsid w:val="00F70E84"/>
    <w:rsid w:val="00F755CB"/>
    <w:rsid w:val="00F937FC"/>
    <w:rsid w:val="00FA7866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92B0"/>
  <w15:docId w15:val="{8E3EB3C0-4CFD-41AD-9019-D5730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18</cp:revision>
  <dcterms:created xsi:type="dcterms:W3CDTF">2017-05-19T08:38:00Z</dcterms:created>
  <dcterms:modified xsi:type="dcterms:W3CDTF">2017-07-31T17:46:00Z</dcterms:modified>
</cp:coreProperties>
</file>